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2BCE9">
      <w:pPr>
        <w:keepNext w:val="0"/>
        <w:keepLines w:val="0"/>
        <w:pageBreakBefore w:val="0"/>
        <w:widowControl/>
        <w:suppressLineNumbers w:val="0"/>
        <w:kinsoku/>
        <w:wordWrap/>
        <w:overflowPunct/>
        <w:topLinePunct w:val="0"/>
        <w:autoSpaceDE/>
        <w:autoSpaceDN/>
        <w:bidi w:val="0"/>
        <w:adjustRightInd/>
        <w:snapToGrid/>
        <w:spacing w:before="407" w:beforeLines="130" w:after="469" w:afterLines="150"/>
        <w:jc w:val="left"/>
        <w:textAlignment w:val="auto"/>
        <w:rPr>
          <w:rFonts w:ascii="微软雅黑" w:hAnsi="微软雅黑" w:eastAsia="微软雅黑" w:cs="微软雅黑"/>
          <w:b/>
          <w:bCs/>
          <w:i w:val="0"/>
          <w:iCs w:val="0"/>
          <w:caps w:val="0"/>
          <w:color w:val="295D9E"/>
          <w:spacing w:val="0"/>
          <w:sz w:val="36"/>
          <w:szCs w:val="36"/>
          <w:shd w:val="clear" w:fill="FFFFFF"/>
        </w:rPr>
      </w:pPr>
      <w:r>
        <w:rPr>
          <w:rFonts w:ascii="微软雅黑" w:hAnsi="微软雅黑" w:eastAsia="微软雅黑" w:cs="微软雅黑"/>
          <w:b/>
          <w:bCs/>
          <w:i w:val="0"/>
          <w:iCs w:val="0"/>
          <w:caps w:val="0"/>
          <w:color w:val="295D9E"/>
          <w:spacing w:val="0"/>
          <w:sz w:val="36"/>
          <w:szCs w:val="36"/>
          <w:shd w:val="clear" w:fill="FFFFFF"/>
        </w:rPr>
        <w:t>TNF α(11S14)Rabbit Monoclonal Antibody</w:t>
      </w:r>
      <w:r>
        <w:rPr>
          <w:b/>
          <w:bCs/>
          <w:color w:val="295D9E"/>
          <w:sz w:val="36"/>
          <w:szCs w:val="36"/>
        </w:rPr>
        <mc:AlternateContent>
          <mc:Choice Requires="wpg">
            <w:drawing>
              <wp:anchor distT="0" distB="0" distL="114300" distR="114300" simplePos="0" relativeHeight="251663360" behindDoc="0" locked="0" layoutInCell="1" allowOverlap="1">
                <wp:simplePos x="0" y="0"/>
                <wp:positionH relativeFrom="column">
                  <wp:posOffset>5499100</wp:posOffset>
                </wp:positionH>
                <wp:positionV relativeFrom="paragraph">
                  <wp:posOffset>140335</wp:posOffset>
                </wp:positionV>
                <wp:extent cx="681355" cy="859790"/>
                <wp:effectExtent l="0" t="0" r="4445" b="0"/>
                <wp:wrapNone/>
                <wp:docPr id="13" name="组合 13"/>
                <wp:cNvGraphicFramePr/>
                <a:graphic xmlns:a="http://schemas.openxmlformats.org/drawingml/2006/main">
                  <a:graphicData uri="http://schemas.microsoft.com/office/word/2010/wordprocessingGroup">
                    <wpg:wgp>
                      <wpg:cNvGrpSpPr/>
                      <wpg:grpSpPr>
                        <a:xfrm>
                          <a:off x="0" y="0"/>
                          <a:ext cx="681355" cy="859790"/>
                          <a:chOff x="13164" y="1924"/>
                          <a:chExt cx="951" cy="1159"/>
                        </a:xfrm>
                      </wpg:grpSpPr>
                      <wps:wsp>
                        <wps:cNvPr id="7" name="文本框 7"/>
                        <wps:cNvSpPr txBox="1"/>
                        <wps:spPr>
                          <a:xfrm>
                            <a:off x="13164" y="2656"/>
                            <a:ext cx="951"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6" name="图片 6" descr="C:/Users/Admin/Desktop/https___www.followme-shop.com_productshow_287557_2.pnghttps___www.followme-shop.com_productshow_287557_2"/>
                          <pic:cNvPicPr preferRelativeResize="0"/>
                        </pic:nvPicPr>
                        <pic:blipFill>
                          <a:blip r:embed="rId6"/>
                          <a:srcRect t="118" b="118"/>
                          <a:stretch>
                            <a:fillRect/>
                          </a:stretch>
                        </pic:blipFill>
                        <pic:spPr>
                          <a:xfrm>
                            <a:off x="13205" y="1924"/>
                            <a:ext cx="850" cy="820"/>
                          </a:xfrm>
                          <a:prstGeom prst="rect">
                            <a:avLst/>
                          </a:prstGeom>
                        </pic:spPr>
                      </pic:pic>
                    </wpg:wgp>
                  </a:graphicData>
                </a:graphic>
              </wp:anchor>
            </w:drawing>
          </mc:Choice>
          <mc:Fallback>
            <w:pict>
              <v:group id="_x0000_s1026" o:spid="_x0000_s1026" o:spt="203" style="position:absolute;left:0pt;margin-left:433pt;margin-top:11.05pt;height:67.7pt;width:53.65pt;z-index:251663360;mso-width-relative:page;mso-height-relative:page;" coordorigin="13164,1924" coordsize="951,1159" o:gfxdata="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qiYOvrYAAAAhAQAAGQAAAGRycy9fcmVscy9lMm9Eb2MueG1sLnJlbHOFj0FqwzAQRfeF3EHM&#10;PpadRSjFsjeh4G1IDjBIY1nEGglJLfXtI8gmgUCX8z//PaYf//wqfillF1hB17QgiHUwjq2C6+V7&#10;/wkiF2SDa2BSsFGGcdh99GdasdRRXlzMolI4K1hKiV9SZr2Qx9yESFybOSSPpZ7Jyoj6hpbkoW2P&#10;Mj0zYHhhiskoSJPpQFy2WM3/s8M8O02noH88cXmjkM5XdwVislQUeDIOH2HXRLYgh16+PDbcAV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">
                <o:lock v:ext="edit" aspectratio="f"/>
                <v:shape id="_x0000_s1026" o:spid="_x0000_s1026" o:spt="202" type="#_x0000_t202" style="position:absolute;left:13164;top:2656;height:427;width:951;"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v:textbox>
                </v:shape>
                <v:shape id="_x0000_s1026" o:spid="_x0000_s1026" o:spt="75" alt="C:/Users/Admin/Desktop/https___www.followme-shop.com_productshow_287557_2.pnghttps___www.followme-shop.com_productshow_287557_2" type="#_x0000_t75" style="position:absolute;left:13205;top:1924;height:820;width:850;" filled="f" o:preferrelative="f" stroked="f" coordsize="21600,21600" o:gfxdata="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ZmcL+8AAAA&#10;2gAAAA8AAAAAAAAAAQAgAAAAIgAAAGRycy9kb3ducmV2LnhtbFBLAQIUABQAAAAIAIdO4kAzLwWe&#10;OwAAADkAAAAQAAAAAAAAAAEAIAAAAAsBAABkcnMvc2hhcGV4bWwueG1sUEsFBgAAAAAGAAYAWwEA&#10;ALUDAAAAAA==&#10;">
                  <v:fill on="f" focussize="0,0"/>
                  <v:stroke on="f"/>
                  <v:imagedata r:id="rId6" croptop="77f" cropbottom="77f" o:title="https___www.followme-shop.com_productshow_287557_2"/>
                  <o:lock v:ext="edit" aspectratio="f"/>
                </v:shape>
              </v:group>
            </w:pict>
          </mc:Fallback>
        </mc:AlternateContent>
      </w:r>
    </w:p>
    <w:tbl>
      <w:tblPr>
        <w:tblStyle w:val="7"/>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4841"/>
        <w:gridCol w:w="1582"/>
        <w:gridCol w:w="1562"/>
      </w:tblGrid>
      <w:tr w14:paraId="4A1F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1946" w:type="dxa"/>
            <w:shd w:val="clear" w:color="auto" w:fill="DFF2FF"/>
            <w:vAlign w:val="center"/>
          </w:tcPr>
          <w:p w14:paraId="32DA011E">
            <w:pPr>
              <w:widowControl/>
              <w:jc w:val="center"/>
              <w:rPr>
                <w:rFonts w:hint="eastAsia" w:ascii="宋体" w:hAnsi="宋体" w:eastAsia="宋体" w:cs="宋体"/>
                <w:b/>
                <w:bCs/>
                <w:color w:val="auto"/>
                <w:kern w:val="0"/>
                <w:sz w:val="24"/>
                <w:szCs w:val="24"/>
                <w:lang w:bidi="ar"/>
              </w:rPr>
            </w:pPr>
            <w:r>
              <w:rPr>
                <w:rFonts w:hint="eastAsia" w:ascii="宋体" w:hAnsi="宋体" w:eastAsia="宋体" w:cs="宋体"/>
                <w:b/>
                <w:bCs/>
                <w:color w:val="auto"/>
                <w:kern w:val="0"/>
                <w:sz w:val="24"/>
                <w:szCs w:val="24"/>
                <w:lang w:bidi="ar"/>
              </w:rPr>
              <w:t>产品货号</w:t>
            </w:r>
          </w:p>
        </w:tc>
        <w:tc>
          <w:tcPr>
            <w:tcW w:w="4841" w:type="dxa"/>
            <w:shd w:val="clear" w:color="auto" w:fill="DFF2FF"/>
            <w:vAlign w:val="center"/>
          </w:tcPr>
          <w:p w14:paraId="28DD80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bidi="ar"/>
              </w:rPr>
              <w:t>产品名称</w:t>
            </w:r>
          </w:p>
        </w:tc>
        <w:tc>
          <w:tcPr>
            <w:tcW w:w="1582" w:type="dxa"/>
            <w:shd w:val="clear" w:color="auto" w:fill="DFF2FF"/>
            <w:vAlign w:val="center"/>
          </w:tcPr>
          <w:p w14:paraId="78AB7253">
            <w:pPr>
              <w:widowControl/>
              <w:jc w:val="center"/>
              <w:rPr>
                <w:rFonts w:hint="default"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储存条件</w:t>
            </w:r>
          </w:p>
        </w:tc>
        <w:tc>
          <w:tcPr>
            <w:tcW w:w="1562" w:type="dxa"/>
            <w:shd w:val="clear" w:color="auto" w:fill="DFF2FF"/>
            <w:vAlign w:val="center"/>
          </w:tcPr>
          <w:p w14:paraId="30491F76">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保质期</w:t>
            </w:r>
          </w:p>
        </w:tc>
      </w:tr>
      <w:tr w14:paraId="40A4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946" w:type="dxa"/>
            <w:shd w:val="clear" w:color="auto" w:fill="auto"/>
            <w:vAlign w:val="center"/>
          </w:tcPr>
          <w:p w14:paraId="2B68DF4A">
            <w:pPr>
              <w:keepNext w:val="0"/>
              <w:keepLines w:val="0"/>
              <w:widowControl/>
              <w:suppressLineNumbers w:val="0"/>
              <w:jc w:val="center"/>
              <w:rPr>
                <w:rFonts w:hint="eastAsia" w:ascii="宋体" w:hAnsi="宋体" w:eastAsia="宋体" w:cs="宋体"/>
                <w:b/>
                <w:bCs/>
                <w:color w:val="auto"/>
                <w:sz w:val="24"/>
                <w:szCs w:val="24"/>
                <w:lang w:val="en-US" w:eastAsia="zh-CN"/>
              </w:rPr>
            </w:pPr>
            <w:bookmarkStart w:id="0" w:name="_GoBack" w:colFirst="1" w:colLast="1"/>
            <w:r>
              <w:rPr>
                <w:rFonts w:hint="eastAsia" w:ascii="宋体" w:hAnsi="宋体" w:eastAsia="宋体" w:cs="宋体"/>
                <w:b/>
                <w:bCs/>
                <w:i w:val="0"/>
                <w:iCs w:val="0"/>
                <w:caps w:val="0"/>
                <w:color w:val="auto"/>
                <w:spacing w:val="0"/>
                <w:sz w:val="24"/>
                <w:szCs w:val="24"/>
                <w:shd w:val="clear" w:fill="FFFFFF"/>
              </w:rPr>
              <w:t>IM6871</w:t>
            </w:r>
            <w:r>
              <w:rPr>
                <w:rFonts w:hint="eastAsia" w:ascii="宋体" w:hAnsi="宋体" w:eastAsia="宋体" w:cs="宋体"/>
                <w:b/>
                <w:bCs/>
                <w:i w:val="0"/>
                <w:iCs w:val="0"/>
                <w:caps w:val="0"/>
                <w:color w:val="auto"/>
                <w:spacing w:val="0"/>
                <w:sz w:val="24"/>
                <w:szCs w:val="24"/>
                <w:shd w:val="clear" w:fill="FFFFFF"/>
                <w:lang w:val="en-US" w:eastAsia="zh-CN"/>
              </w:rPr>
              <w:t>5</w:t>
            </w:r>
          </w:p>
        </w:tc>
        <w:tc>
          <w:tcPr>
            <w:tcW w:w="4841" w:type="dxa"/>
            <w:shd w:val="clear" w:color="auto" w:fill="FFFFFF" w:themeFill="background1"/>
            <w:vAlign w:val="center"/>
          </w:tcPr>
          <w:p w14:paraId="6BFCB190">
            <w:pPr>
              <w:keepNext w:val="0"/>
              <w:keepLines w:val="0"/>
              <w:widowControl/>
              <w:suppressLineNumbers w:val="0"/>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i w:val="0"/>
                <w:iCs w:val="0"/>
                <w:caps w:val="0"/>
                <w:color w:val="auto"/>
                <w:spacing w:val="0"/>
                <w:sz w:val="24"/>
                <w:szCs w:val="24"/>
                <w:shd w:val="clear" w:fill="FFFFFF"/>
              </w:rPr>
              <w:t>TNF α(11S14)Rabbit Monoclonal Antibody</w:t>
            </w:r>
          </w:p>
        </w:tc>
        <w:tc>
          <w:tcPr>
            <w:tcW w:w="1582" w:type="dxa"/>
            <w:shd w:val="clear" w:color="auto" w:fill="FFFFFF" w:themeFill="background1"/>
            <w:vAlign w:val="center"/>
          </w:tcPr>
          <w:p w14:paraId="6F5C763C">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-20℃</w:t>
            </w:r>
          </w:p>
        </w:tc>
        <w:tc>
          <w:tcPr>
            <w:tcW w:w="1562" w:type="dxa"/>
            <w:shd w:val="clear" w:color="auto" w:fill="FFFFFF" w:themeFill="background1"/>
            <w:vAlign w:val="center"/>
          </w:tcPr>
          <w:p w14:paraId="52DAB321">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1年</w:t>
            </w:r>
          </w:p>
        </w:tc>
      </w:tr>
      <w:bookmarkEnd w:id="0"/>
    </w:tbl>
    <w:p w14:paraId="710775D8">
      <w:pPr>
        <w:keepNext w:val="0"/>
        <w:keepLines w:val="0"/>
        <w:pageBreakBefore w:val="0"/>
        <w:widowControl w:val="0"/>
        <w:kinsoku/>
        <w:wordWrap/>
        <w:overflowPunct/>
        <w:topLinePunct w:val="0"/>
        <w:autoSpaceDE/>
        <w:autoSpaceDN/>
        <w:bidi w:val="0"/>
        <w:adjustRightInd/>
        <w:snapToGrid/>
        <w:textAlignment w:val="auto"/>
        <w:rPr>
          <w:rFonts w:hint="default" w:eastAsia="宋体" w:cs="宋体" w:asciiTheme="minorEastAsia" w:hAnsiTheme="minorEastAsia"/>
          <w:b/>
          <w:kern w:val="0"/>
          <w:sz w:val="28"/>
          <w:szCs w:val="28"/>
          <w:lang w:val="en-US" w:eastAsia="zh-CN" w:bidi="ar"/>
        </w:rPr>
      </w:pPr>
      <w:r>
        <w:rPr>
          <w:rFonts w:hint="eastAsia" w:ascii="宋体" w:hAnsi="宋体" w:eastAsia="宋体" w:cs="宋体"/>
          <w:b/>
          <w:bCs/>
          <w:sz w:val="28"/>
          <w:szCs w:val="28"/>
          <w:lang w:val="en-US" w:eastAsia="zh-CN"/>
        </w:rPr>
        <w:t>产品概述：</w:t>
      </w: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806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F703CDA">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center"/>
              <w:textAlignment w:val="auto"/>
              <w:rPr>
                <w:rFonts w:hint="eastAsia" w:ascii="宋体" w:hAnsi="宋体" w:eastAsia="宋体" w:cs="宋体"/>
                <w:b w:val="0"/>
                <w:bCs w:val="0"/>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产品货号</w:t>
            </w:r>
          </w:p>
        </w:tc>
        <w:tc>
          <w:tcPr>
            <w:tcW w:w="7985" w:type="dxa"/>
            <w:tcMar>
              <w:top w:w="0" w:type="dxa"/>
              <w:left w:w="113" w:type="dxa"/>
              <w:bottom w:w="0" w:type="dxa"/>
              <w:right w:w="113" w:type="dxa"/>
            </w:tcMar>
            <w:vAlign w:val="center"/>
          </w:tcPr>
          <w:p w14:paraId="0E6F860E">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both"/>
              <w:textAlignment w:val="auto"/>
              <w:rPr>
                <w:rFonts w:hint="eastAsia" w:ascii="宋体" w:hAnsi="宋体" w:eastAsia="宋体" w:cs="宋体"/>
                <w:b w:val="0"/>
                <w:bCs w:val="0"/>
                <w:color w:val="auto"/>
                <w:spacing w:val="-5"/>
                <w:sz w:val="24"/>
                <w:szCs w:val="24"/>
                <w:lang w:val="en-US" w:eastAsia="zh-CN"/>
              </w:rPr>
            </w:pPr>
            <w:r>
              <w:rPr>
                <w:rFonts w:hint="eastAsia" w:ascii="宋体" w:hAnsi="宋体" w:eastAsia="宋体" w:cs="宋体"/>
                <w:b w:val="0"/>
                <w:bCs w:val="0"/>
                <w:i w:val="0"/>
                <w:iCs w:val="0"/>
                <w:caps w:val="0"/>
                <w:color w:val="auto"/>
                <w:spacing w:val="0"/>
                <w:sz w:val="24"/>
                <w:szCs w:val="24"/>
                <w:shd w:val="clear" w:fill="FFFFFF"/>
              </w:rPr>
              <w:t>IM6871</w:t>
            </w:r>
            <w:r>
              <w:rPr>
                <w:rFonts w:hint="eastAsia" w:ascii="宋体" w:hAnsi="宋体" w:eastAsia="宋体" w:cs="宋体"/>
                <w:b w:val="0"/>
                <w:bCs w:val="0"/>
                <w:i w:val="0"/>
                <w:iCs w:val="0"/>
                <w:caps w:val="0"/>
                <w:color w:val="auto"/>
                <w:spacing w:val="0"/>
                <w:sz w:val="24"/>
                <w:szCs w:val="24"/>
                <w:shd w:val="clear" w:fill="FFFFFF"/>
                <w:lang w:val="en-US" w:eastAsia="zh-CN"/>
              </w:rPr>
              <w:t>5</w:t>
            </w:r>
          </w:p>
        </w:tc>
      </w:tr>
      <w:tr w14:paraId="40595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B7C08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别名</w:t>
            </w:r>
          </w:p>
        </w:tc>
        <w:tc>
          <w:tcPr>
            <w:tcW w:w="7985" w:type="dxa"/>
            <w:tcMar>
              <w:top w:w="0" w:type="dxa"/>
              <w:left w:w="113" w:type="dxa"/>
              <w:bottom w:w="0" w:type="dxa"/>
              <w:right w:w="113" w:type="dxa"/>
            </w:tcMar>
            <w:vAlign w:val="center"/>
          </w:tcPr>
          <w:p w14:paraId="5B1D1F11">
            <w:pPr>
              <w:widowControl/>
              <w:spacing w:line="360" w:lineRule="auto"/>
              <w:jc w:val="left"/>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TNF;TNFA;TNFSF2;Tumor necrosis factor;Cachectin;TNF-alpha;Tumor necrosis factor ligand superfamily member 2;TNF-a;TNFA;TNFSF2</w:t>
            </w:r>
          </w:p>
        </w:tc>
      </w:tr>
      <w:tr w14:paraId="4F369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472D90E">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val="0"/>
                <w:bCs w:val="0"/>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产品名称</w:t>
            </w:r>
          </w:p>
        </w:tc>
        <w:tc>
          <w:tcPr>
            <w:tcW w:w="7985" w:type="dxa"/>
            <w:tcMar>
              <w:top w:w="0" w:type="dxa"/>
              <w:left w:w="113" w:type="dxa"/>
              <w:bottom w:w="0" w:type="dxa"/>
              <w:right w:w="113" w:type="dxa"/>
            </w:tcMar>
            <w:vAlign w:val="center"/>
          </w:tcPr>
          <w:p w14:paraId="2A6D258C">
            <w:pPr>
              <w:widowControl/>
              <w:jc w:val="left"/>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TNF α(11S14)Rabbit Monoclonal Antibody</w:t>
            </w:r>
          </w:p>
        </w:tc>
      </w:tr>
      <w:tr w14:paraId="50025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B476E5C">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类别</w:t>
            </w:r>
          </w:p>
        </w:tc>
        <w:tc>
          <w:tcPr>
            <w:tcW w:w="7985" w:type="dxa"/>
            <w:tcMar>
              <w:top w:w="0" w:type="dxa"/>
              <w:left w:w="113" w:type="dxa"/>
              <w:bottom w:w="0" w:type="dxa"/>
              <w:right w:w="113" w:type="dxa"/>
            </w:tcMar>
            <w:vAlign w:val="center"/>
          </w:tcPr>
          <w:p w14:paraId="46CFB308">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抗体产品</w:t>
            </w:r>
          </w:p>
        </w:tc>
      </w:tr>
      <w:tr w14:paraId="43DA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3B0510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基因名称</w:t>
            </w:r>
          </w:p>
        </w:tc>
        <w:tc>
          <w:tcPr>
            <w:tcW w:w="7985" w:type="dxa"/>
            <w:tcMar>
              <w:top w:w="0" w:type="dxa"/>
              <w:left w:w="113" w:type="dxa"/>
              <w:bottom w:w="0" w:type="dxa"/>
              <w:right w:w="113" w:type="dxa"/>
            </w:tcMar>
            <w:vAlign w:val="center"/>
          </w:tcPr>
          <w:p w14:paraId="767EC8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ascii="宋体" w:hAnsi="宋体" w:eastAsia="宋体" w:cs="宋体"/>
                <w:sz w:val="24"/>
                <w:szCs w:val="24"/>
              </w:rPr>
            </w:pPr>
            <w:r>
              <w:rPr>
                <w:rFonts w:ascii="宋体" w:hAnsi="宋体" w:eastAsia="宋体" w:cs="宋体"/>
                <w:sz w:val="24"/>
                <w:szCs w:val="24"/>
              </w:rPr>
              <w:t>TNF</w:t>
            </w:r>
          </w:p>
        </w:tc>
      </w:tr>
      <w:tr w14:paraId="22C71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3AE1C9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蛋白名称</w:t>
            </w:r>
          </w:p>
        </w:tc>
        <w:tc>
          <w:tcPr>
            <w:tcW w:w="7985" w:type="dxa"/>
            <w:tcMar>
              <w:top w:w="0" w:type="dxa"/>
              <w:left w:w="113" w:type="dxa"/>
              <w:bottom w:w="0" w:type="dxa"/>
              <w:right w:w="113" w:type="dxa"/>
            </w:tcMar>
            <w:vAlign w:val="center"/>
          </w:tcPr>
          <w:p w14:paraId="65C7EB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aps w:val="0"/>
                <w:color w:val="auto"/>
                <w:spacing w:val="0"/>
                <w:sz w:val="24"/>
                <w:szCs w:val="24"/>
                <w:shd w:val="clear" w:fill="FFFFFF"/>
                <w:lang w:val="en-US" w:eastAsia="zh-CN"/>
              </w:rPr>
            </w:pPr>
            <w:r>
              <w:rPr>
                <w:rFonts w:ascii="宋体" w:hAnsi="宋体" w:eastAsia="宋体" w:cs="宋体"/>
                <w:sz w:val="24"/>
                <w:szCs w:val="24"/>
              </w:rPr>
              <w:t>Tumor necrosis factor(Cachectin)(TNF-alpha)(Tumor necrosis factor ligand superfamily member 2)(TNF-a)[Cleaved into:Tumor necrosis factor,membrane form(N-terminal fragment)(NTF);Intracellular domain 1(ICD1);Intracellular domain 2(ICD2);C-doma</w:t>
            </w:r>
            <w:r>
              <w:rPr>
                <w:rFonts w:hint="eastAsia" w:ascii="宋体" w:hAnsi="宋体" w:eastAsia="宋体" w:cs="宋体"/>
                <w:sz w:val="24"/>
                <w:szCs w:val="24"/>
                <w:lang w:val="en-US" w:eastAsia="zh-CN"/>
              </w:rPr>
              <w:t>.</w:t>
            </w:r>
          </w:p>
        </w:tc>
      </w:tr>
      <w:tr w14:paraId="33CDF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7B562FF">
            <w:pPr>
              <w:pStyle w:val="10"/>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pacing w:val="-6"/>
                <w:sz w:val="24"/>
                <w:szCs w:val="24"/>
                <w:lang w:val="en-US" w:eastAsia="zh-CN"/>
              </w:rPr>
              <w:t>推荐应用</w:t>
            </w:r>
          </w:p>
        </w:tc>
        <w:tc>
          <w:tcPr>
            <w:tcW w:w="7985" w:type="dxa"/>
            <w:tcMar>
              <w:top w:w="0" w:type="dxa"/>
              <w:left w:w="113" w:type="dxa"/>
              <w:bottom w:w="0" w:type="dxa"/>
              <w:right w:w="113" w:type="dxa"/>
            </w:tcMar>
            <w:vAlign w:val="center"/>
          </w:tcPr>
          <w:p w14:paraId="143A60B2">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WB,IHC-P,IF-P,IF-F,IF-ICC,IP,ELISA</w:t>
            </w:r>
          </w:p>
        </w:tc>
      </w:tr>
      <w:tr w14:paraId="72FE2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8F740E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color w:val="002060"/>
                <w:spacing w:val="-6"/>
                <w:sz w:val="24"/>
                <w:szCs w:val="24"/>
                <w:lang w:val="en-US" w:eastAsia="zh-CN"/>
              </w:rPr>
              <w:t>反应种属</w:t>
            </w:r>
          </w:p>
        </w:tc>
        <w:tc>
          <w:tcPr>
            <w:tcW w:w="7985" w:type="dxa"/>
            <w:tcMar>
              <w:top w:w="0" w:type="dxa"/>
              <w:left w:w="113" w:type="dxa"/>
              <w:bottom w:w="0" w:type="dxa"/>
              <w:right w:w="113" w:type="dxa"/>
            </w:tcMar>
            <w:vAlign w:val="center"/>
          </w:tcPr>
          <w:p w14:paraId="7BD970F5">
            <w:pPr>
              <w:widowControl/>
              <w:spacing w:line="480" w:lineRule="auto"/>
              <w:jc w:val="both"/>
              <w:rPr>
                <w:rFonts w:hint="eastAsia" w:ascii="宋体" w:hAnsi="宋体" w:eastAsia="宋体" w:cs="宋体"/>
                <w:b w:val="0"/>
                <w:bCs w:val="0"/>
                <w:i w:val="0"/>
                <w:iCs w:val="0"/>
                <w:caps w:val="0"/>
                <w:color w:val="auto"/>
                <w:spacing w:val="0"/>
                <w:sz w:val="24"/>
                <w:szCs w:val="24"/>
                <w:shd w:val="clear" w:fill="FFFFFF"/>
              </w:rPr>
            </w:pPr>
            <w:r>
              <w:rPr>
                <w:rFonts w:ascii="宋体" w:hAnsi="宋体" w:eastAsia="宋体" w:cs="宋体"/>
                <w:sz w:val="24"/>
                <w:szCs w:val="24"/>
              </w:rPr>
              <w:t>Human,Mouse,Rat</w:t>
            </w:r>
          </w:p>
        </w:tc>
      </w:tr>
      <w:tr w14:paraId="4700D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3E774B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pacing w:val="-6"/>
                <w:sz w:val="24"/>
                <w:szCs w:val="24"/>
                <w:lang w:val="en-US" w:eastAsia="zh-CN"/>
              </w:rPr>
            </w:pPr>
            <w:r>
              <w:rPr>
                <w:rFonts w:hint="eastAsia" w:ascii="宋体" w:hAnsi="宋体" w:eastAsia="宋体" w:cs="宋体"/>
                <w:b/>
                <w:bCs/>
                <w:i w:val="0"/>
                <w:iCs w:val="0"/>
                <w:caps w:val="0"/>
                <w:color w:val="002060"/>
                <w:spacing w:val="0"/>
                <w:sz w:val="24"/>
                <w:szCs w:val="24"/>
                <w:shd w:val="clear"/>
              </w:rPr>
              <w:t>存储缓冲液</w:t>
            </w:r>
          </w:p>
        </w:tc>
        <w:tc>
          <w:tcPr>
            <w:tcW w:w="7985" w:type="dxa"/>
            <w:tcMar>
              <w:top w:w="0" w:type="dxa"/>
              <w:left w:w="113" w:type="dxa"/>
              <w:bottom w:w="0" w:type="dxa"/>
              <w:right w:w="113" w:type="dxa"/>
            </w:tcMar>
            <w:vAlign w:val="center"/>
          </w:tcPr>
          <w:p w14:paraId="29E2B92F">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ascii="宋体" w:hAnsi="宋体" w:eastAsia="宋体" w:cs="宋体"/>
                <w:sz w:val="24"/>
                <w:szCs w:val="24"/>
              </w:rPr>
              <w:t>PBS,50% glycerol,0.05% Proclin 300,0.05%BSA</w:t>
            </w:r>
          </w:p>
        </w:tc>
      </w:tr>
      <w:tr w14:paraId="606F4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F74031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ascii="宋体" w:hAnsi="宋体" w:eastAsia="宋体" w:cs="宋体"/>
                <w:b/>
                <w:bCs/>
                <w:color w:val="002060"/>
                <w:sz w:val="24"/>
                <w:szCs w:val="24"/>
              </w:rPr>
              <w:t>Human Gene ID</w:t>
            </w:r>
          </w:p>
        </w:tc>
        <w:tc>
          <w:tcPr>
            <w:tcW w:w="7985" w:type="dxa"/>
            <w:tcMar>
              <w:top w:w="0" w:type="dxa"/>
              <w:left w:w="113" w:type="dxa"/>
              <w:bottom w:w="0" w:type="dxa"/>
              <w:right w:w="113" w:type="dxa"/>
            </w:tcMar>
            <w:vAlign w:val="center"/>
          </w:tcPr>
          <w:p w14:paraId="6DD07C7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7124</w:t>
            </w:r>
          </w:p>
        </w:tc>
      </w:tr>
      <w:tr w14:paraId="3A3447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E57FB6F">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Human </w:t>
            </w:r>
          </w:p>
          <w:p w14:paraId="784C7A2C">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2E5BB71A">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P01375</w:t>
            </w:r>
          </w:p>
        </w:tc>
      </w:tr>
      <w:tr w14:paraId="627262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5BC6AF09">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Mouse Gene ID</w:t>
            </w:r>
          </w:p>
        </w:tc>
        <w:tc>
          <w:tcPr>
            <w:tcW w:w="7985" w:type="dxa"/>
            <w:tcMar>
              <w:top w:w="0" w:type="dxa"/>
              <w:left w:w="113" w:type="dxa"/>
              <w:bottom w:w="0" w:type="dxa"/>
              <w:right w:w="113" w:type="dxa"/>
            </w:tcMar>
            <w:vAlign w:val="center"/>
          </w:tcPr>
          <w:p w14:paraId="208B5326">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21926</w:t>
            </w:r>
          </w:p>
        </w:tc>
      </w:tr>
    </w:tbl>
    <w:p w14:paraId="6327B38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037DC9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5EF8D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04" w:hRule="atLeast"/>
        </w:trPr>
        <w:tc>
          <w:tcPr>
            <w:tcW w:w="1930" w:type="dxa"/>
            <w:shd w:val="clear" w:color="auto" w:fill="DFF2FF"/>
            <w:tcMar>
              <w:top w:w="0" w:type="dxa"/>
              <w:left w:w="113" w:type="dxa"/>
              <w:bottom w:w="0" w:type="dxa"/>
              <w:right w:w="113" w:type="dxa"/>
            </w:tcMar>
            <w:vAlign w:val="center"/>
          </w:tcPr>
          <w:p w14:paraId="7580CB39">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Mouse </w:t>
            </w:r>
          </w:p>
          <w:p w14:paraId="507F24EE">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26562519">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P06804</w:t>
            </w:r>
          </w:p>
        </w:tc>
      </w:tr>
      <w:tr w14:paraId="4F6D93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F1B7D2F">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Rat Gene ID</w:t>
            </w:r>
          </w:p>
        </w:tc>
        <w:tc>
          <w:tcPr>
            <w:tcW w:w="7985" w:type="dxa"/>
            <w:tcMar>
              <w:top w:w="0" w:type="dxa"/>
              <w:left w:w="113" w:type="dxa"/>
              <w:bottom w:w="0" w:type="dxa"/>
              <w:right w:w="113" w:type="dxa"/>
            </w:tcMar>
            <w:vAlign w:val="center"/>
          </w:tcPr>
          <w:p w14:paraId="74604AEF">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2483</w:t>
            </w:r>
            <w:r>
              <w:rPr>
                <w:rFonts w:hint="eastAsia" w:ascii="宋体" w:hAnsi="宋体" w:eastAsia="宋体" w:cs="宋体"/>
                <w:sz w:val="24"/>
                <w:szCs w:val="24"/>
                <w:lang w:val="en-US" w:eastAsia="zh-CN"/>
              </w:rPr>
              <w:t>5</w:t>
            </w:r>
          </w:p>
        </w:tc>
      </w:tr>
      <w:tr w14:paraId="7FF92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4DB5B9DD">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Rat </w:t>
            </w:r>
          </w:p>
          <w:p w14:paraId="65B1132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1064761F">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P16599</w:t>
            </w:r>
          </w:p>
        </w:tc>
      </w:tr>
      <w:tr w14:paraId="6113FC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35EF35B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i w:val="0"/>
                <w:iCs w:val="0"/>
                <w:caps w:val="0"/>
                <w:color w:val="002060"/>
                <w:spacing w:val="0"/>
                <w:sz w:val="24"/>
                <w:szCs w:val="24"/>
                <w:shd w:val="clear"/>
                <w:lang w:val="en-US" w:eastAsia="zh-CN"/>
              </w:rPr>
              <w:t>稀释度</w:t>
            </w:r>
          </w:p>
        </w:tc>
        <w:tc>
          <w:tcPr>
            <w:tcW w:w="7985" w:type="dxa"/>
            <w:tcMar>
              <w:top w:w="0" w:type="dxa"/>
              <w:left w:w="113" w:type="dxa"/>
              <w:bottom w:w="0" w:type="dxa"/>
              <w:right w:w="113" w:type="dxa"/>
            </w:tcMar>
            <w:vAlign w:val="center"/>
          </w:tcPr>
          <w:p w14:paraId="5987C703">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IHC-P 1:2000-1:10000,WB 1:2000-1:10000,IF-P/IF-F/IF-ICC 1:200-</w:t>
            </w:r>
            <w:r>
              <w:rPr>
                <w:rFonts w:hint="eastAsia" w:ascii="宋体" w:hAnsi="宋体" w:eastAsia="宋体" w:cs="宋体"/>
                <w:sz w:val="24"/>
                <w:szCs w:val="24"/>
                <w:lang w:val="en-US" w:eastAsia="zh-CN"/>
              </w:rPr>
              <w:t xml:space="preserve"> </w:t>
            </w:r>
            <w:r>
              <w:rPr>
                <w:rFonts w:ascii="宋体" w:hAnsi="宋体" w:eastAsia="宋体" w:cs="宋体"/>
                <w:sz w:val="24"/>
                <w:szCs w:val="24"/>
              </w:rPr>
              <w:t>1:1000,ELISA 1:5000 1:20000,IP 1:50-1:200</w:t>
            </w:r>
          </w:p>
        </w:tc>
      </w:tr>
      <w:tr w14:paraId="0C863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269287D3">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参考分子量</w:t>
            </w:r>
          </w:p>
        </w:tc>
        <w:tc>
          <w:tcPr>
            <w:tcW w:w="7985" w:type="dxa"/>
            <w:tcMar>
              <w:top w:w="0" w:type="dxa"/>
              <w:left w:w="113" w:type="dxa"/>
              <w:bottom w:w="0" w:type="dxa"/>
              <w:right w:w="113" w:type="dxa"/>
            </w:tcMar>
            <w:vAlign w:val="center"/>
          </w:tcPr>
          <w:p w14:paraId="78523D62">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18kDa</w:t>
            </w:r>
          </w:p>
        </w:tc>
      </w:tr>
      <w:tr w14:paraId="275F5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2E436F65">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lang w:val="en-US" w:eastAsia="zh-CN"/>
              </w:rPr>
              <w:t>预测分子量</w:t>
            </w:r>
          </w:p>
        </w:tc>
        <w:tc>
          <w:tcPr>
            <w:tcW w:w="7985" w:type="dxa"/>
            <w:tcMar>
              <w:top w:w="0" w:type="dxa"/>
              <w:left w:w="113" w:type="dxa"/>
              <w:bottom w:w="0" w:type="dxa"/>
              <w:right w:w="113" w:type="dxa"/>
            </w:tcMar>
            <w:vAlign w:val="center"/>
          </w:tcPr>
          <w:p w14:paraId="716AB626">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26</w:t>
            </w:r>
            <w:r>
              <w:rPr>
                <w:rFonts w:ascii="宋体" w:hAnsi="宋体" w:eastAsia="宋体" w:cs="宋体"/>
                <w:sz w:val="24"/>
                <w:szCs w:val="24"/>
              </w:rPr>
              <w:t>kDa</w:t>
            </w:r>
          </w:p>
        </w:tc>
      </w:tr>
      <w:tr w14:paraId="44BB1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9AA70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运输及保存条件</w:t>
            </w:r>
          </w:p>
        </w:tc>
        <w:tc>
          <w:tcPr>
            <w:tcW w:w="7985" w:type="dxa"/>
            <w:tcMar>
              <w:top w:w="0" w:type="dxa"/>
              <w:left w:w="113" w:type="dxa"/>
              <w:bottom w:w="0" w:type="dxa"/>
              <w:right w:w="113" w:type="dxa"/>
            </w:tcMar>
            <w:vAlign w:val="center"/>
          </w:tcPr>
          <w:p w14:paraId="02676D9A">
            <w:pPr>
              <w:keepNext w:val="0"/>
              <w:keepLines w:val="0"/>
              <w:widowControl/>
              <w:suppressLineNumbers w:val="0"/>
              <w:spacing w:line="480" w:lineRule="auto"/>
              <w:jc w:val="both"/>
              <w:rPr>
                <w:rFonts w:ascii="宋体" w:hAnsi="宋体" w:eastAsia="宋体" w:cs="宋体"/>
                <w:sz w:val="24"/>
                <w:szCs w:val="24"/>
              </w:rPr>
            </w:pPr>
            <w:r>
              <w:rPr>
                <w:rFonts w:ascii="宋体" w:hAnsi="宋体" w:eastAsia="宋体" w:cs="宋体"/>
                <w:sz w:val="24"/>
                <w:szCs w:val="24"/>
              </w:rPr>
              <w:t>-20</w:t>
            </w:r>
            <w:r>
              <w:rPr>
                <w:rFonts w:hint="eastAsia" w:ascii="宋体" w:hAnsi="宋体" w:eastAsia="宋体" w:cs="宋体"/>
                <w:sz w:val="24"/>
                <w:szCs w:val="24"/>
                <w:lang w:val="en-US" w:eastAsia="zh-CN"/>
              </w:rPr>
              <w:t>℃</w:t>
            </w:r>
            <w:r>
              <w:rPr>
                <w:rFonts w:ascii="宋体" w:hAnsi="宋体" w:eastAsia="宋体" w:cs="宋体"/>
                <w:sz w:val="24"/>
                <w:szCs w:val="24"/>
              </w:rPr>
              <w:t>/1 year(Do not lower than -25</w:t>
            </w:r>
            <w:r>
              <w:rPr>
                <w:rFonts w:hint="eastAsia" w:ascii="宋体" w:hAnsi="宋体" w:eastAsia="宋体" w:cs="宋体"/>
                <w:sz w:val="24"/>
                <w:szCs w:val="24"/>
                <w:lang w:val="en-US" w:eastAsia="zh-CN"/>
              </w:rPr>
              <w:t>℃</w:t>
            </w:r>
            <w:r>
              <w:rPr>
                <w:rFonts w:ascii="宋体" w:hAnsi="宋体" w:eastAsia="宋体" w:cs="宋体"/>
                <w:sz w:val="24"/>
                <w:szCs w:val="24"/>
              </w:rPr>
              <w:t>)</w:t>
            </w:r>
          </w:p>
        </w:tc>
      </w:tr>
      <w:tr w14:paraId="656A5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126A1E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eastAsia="zh-CN"/>
              </w:rPr>
            </w:pPr>
            <w:r>
              <w:rPr>
                <w:rFonts w:hint="eastAsia" w:ascii="宋体" w:hAnsi="宋体" w:eastAsia="宋体" w:cs="宋体"/>
                <w:b/>
                <w:bCs/>
                <w:i w:val="0"/>
                <w:iCs w:val="0"/>
                <w:caps w:val="0"/>
                <w:color w:val="002060"/>
                <w:spacing w:val="0"/>
                <w:sz w:val="24"/>
                <w:szCs w:val="24"/>
                <w:shd w:val="clear"/>
                <w:lang w:val="en-US" w:eastAsia="zh-CN"/>
              </w:rPr>
              <w:t>宿主</w:t>
            </w:r>
          </w:p>
        </w:tc>
        <w:tc>
          <w:tcPr>
            <w:tcW w:w="7985" w:type="dxa"/>
            <w:tcMar>
              <w:top w:w="0" w:type="dxa"/>
              <w:left w:w="113" w:type="dxa"/>
              <w:bottom w:w="0" w:type="dxa"/>
              <w:right w:w="113" w:type="dxa"/>
            </w:tcMar>
            <w:vAlign w:val="center"/>
          </w:tcPr>
          <w:p w14:paraId="2F659A42">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Rabbit</w:t>
            </w:r>
          </w:p>
        </w:tc>
      </w:tr>
      <w:tr w14:paraId="51805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0EDA93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同种型</w:t>
            </w:r>
          </w:p>
        </w:tc>
        <w:tc>
          <w:tcPr>
            <w:tcW w:w="7985" w:type="dxa"/>
            <w:tcMar>
              <w:top w:w="0" w:type="dxa"/>
              <w:left w:w="113" w:type="dxa"/>
              <w:bottom w:w="0" w:type="dxa"/>
              <w:right w:w="113" w:type="dxa"/>
            </w:tcMar>
            <w:vAlign w:val="center"/>
          </w:tcPr>
          <w:p w14:paraId="6BF645F3">
            <w:pPr>
              <w:keepNext w:val="0"/>
              <w:keepLines w:val="0"/>
              <w:widowControl/>
              <w:suppressLineNumbers w:val="0"/>
              <w:spacing w:line="360" w:lineRule="auto"/>
              <w:jc w:val="both"/>
              <w:rPr>
                <w:rFonts w:hint="eastAsia" w:ascii="宋体" w:hAnsi="宋体" w:eastAsia="宋体" w:cs="宋体"/>
                <w:color w:val="auto"/>
                <w:sz w:val="24"/>
                <w:szCs w:val="24"/>
              </w:rPr>
            </w:pPr>
            <w:r>
              <w:rPr>
                <w:rFonts w:ascii="宋体" w:hAnsi="宋体" w:eastAsia="宋体" w:cs="宋体"/>
                <w:sz w:val="24"/>
                <w:szCs w:val="24"/>
              </w:rPr>
              <w:t>Monoclonal,rabbit,IgG,Kappa</w:t>
            </w:r>
          </w:p>
        </w:tc>
      </w:tr>
      <w:tr w14:paraId="5C248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A09E8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背景介绍</w:t>
            </w:r>
          </w:p>
        </w:tc>
        <w:tc>
          <w:tcPr>
            <w:tcW w:w="7985" w:type="dxa"/>
            <w:tcMar>
              <w:top w:w="0" w:type="dxa"/>
              <w:left w:w="113" w:type="dxa"/>
              <w:bottom w:w="0" w:type="dxa"/>
              <w:right w:w="113" w:type="dxa"/>
            </w:tcMar>
            <w:vAlign w:val="center"/>
          </w:tcPr>
          <w:p w14:paraId="057A1BD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This gene encodes a multifunctional proinflammatory cytokine that belongs to the tumor necrosis factor(TNF)superfamily.This cytokine is mainly secreted by macrophages.It can bind to, and thus functions through its receptors TNFRSF1A/TNFR1 and TNFRSF1B/TNFBR.This cytokine is involved in the regulation of a wide spectrum of biological processes including cell proliferation,differentiation, apoptosis,lipid metabolism,and coagulation.This cytokine has been implicated in a variety of diseases,including autoimmune diseases, insulin resistance,and cancer.Knockout studies in mice also suggested the neuroprotective function of this cytokine.[provided by RefSeq,Jul 2008]</w:t>
            </w:r>
            <w:r>
              <w:rPr>
                <w:rFonts w:hint="eastAsia" w:ascii="宋体" w:hAnsi="宋体" w:eastAsia="宋体" w:cs="宋体"/>
                <w:sz w:val="24"/>
                <w:szCs w:val="24"/>
                <w:lang w:val="en-US" w:eastAsia="zh-CN"/>
              </w:rPr>
              <w:t>.</w:t>
            </w:r>
          </w:p>
        </w:tc>
      </w:tr>
      <w:tr w14:paraId="0269E2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C91040C">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信号通路</w:t>
            </w:r>
          </w:p>
        </w:tc>
        <w:tc>
          <w:tcPr>
            <w:tcW w:w="7985" w:type="dxa"/>
            <w:tcMar>
              <w:top w:w="0" w:type="dxa"/>
              <w:left w:w="113" w:type="dxa"/>
              <w:bottom w:w="0" w:type="dxa"/>
              <w:right w:w="113" w:type="dxa"/>
            </w:tcMar>
            <w:vAlign w:val="center"/>
          </w:tcPr>
          <w:p w14:paraId="0CA44767">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 xml:space="preserve">MAPK_ERK_Growth;MAPK_G_Protein;Cytokine-cytokine receptor interaction;Apoptosis_Inhibition;Apoptosis_Mitochondrial;Apoptosis_Overview;TGF beta;Toll_Like;NOD-like receptor;RIG-I-like </w:t>
            </w:r>
          </w:p>
        </w:tc>
      </w:tr>
    </w:tbl>
    <w:p w14:paraId="014228D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4B0B7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D0E30E6">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color w:val="002060"/>
                <w:sz w:val="24"/>
                <w:szCs w:val="24"/>
                <w:lang w:val="en-US" w:eastAsia="zh-CN"/>
              </w:rPr>
              <w:t>信号通路</w:t>
            </w:r>
          </w:p>
        </w:tc>
        <w:tc>
          <w:tcPr>
            <w:tcW w:w="7985" w:type="dxa"/>
            <w:tcMar>
              <w:top w:w="0" w:type="dxa"/>
              <w:left w:w="113" w:type="dxa"/>
              <w:bottom w:w="0" w:type="dxa"/>
              <w:right w:w="113" w:type="dxa"/>
            </w:tcMar>
            <w:vAlign w:val="center"/>
          </w:tcPr>
          <w:p w14:paraId="45CA4F0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receptor;Hematopoietic cell lineage;Natural killer cell mediated cytotoxicity;T_Cell_Receptor;Fc epsilon RI;Adipocytokine;Type II diabetes mellitus;Type I diabetes mellitus;Alzheimer's disease;Amyotrophic lateral sclerosis (ALS);Asthma;Systemic lupus erythematosus;Allograft rejection;Graft-versus-host disease;</w:t>
            </w:r>
            <w:r>
              <w:rPr>
                <w:rFonts w:hint="eastAsia" w:ascii="宋体" w:hAnsi="宋体" w:eastAsia="宋体" w:cs="宋体"/>
                <w:sz w:val="24"/>
                <w:szCs w:val="24"/>
                <w:lang w:val="en-US" w:eastAsia="zh-CN"/>
              </w:rPr>
              <w:t xml:space="preserve"> </w:t>
            </w:r>
            <w:r>
              <w:rPr>
                <w:rFonts w:ascii="宋体" w:hAnsi="宋体" w:eastAsia="宋体" w:cs="宋体"/>
                <w:sz w:val="24"/>
                <w:szCs w:val="24"/>
              </w:rPr>
              <w:t>Hypertrophic cardiomyopathy (HCM);Dilated cardiomyopathy</w:t>
            </w:r>
            <w:r>
              <w:rPr>
                <w:rFonts w:hint="eastAsia" w:ascii="宋体" w:hAnsi="宋体" w:eastAsia="宋体" w:cs="宋体"/>
                <w:sz w:val="24"/>
                <w:szCs w:val="24"/>
                <w:lang w:val="en-US" w:eastAsia="zh-CN"/>
              </w:rPr>
              <w:t>.</w:t>
            </w:r>
          </w:p>
        </w:tc>
      </w:tr>
      <w:tr w14:paraId="10EC4A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DEA4C7A">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功能</w:t>
            </w:r>
          </w:p>
        </w:tc>
        <w:tc>
          <w:tcPr>
            <w:tcW w:w="7985" w:type="dxa"/>
            <w:shd w:val="clear"/>
            <w:tcMar>
              <w:top w:w="0" w:type="dxa"/>
              <w:left w:w="113" w:type="dxa"/>
              <w:bottom w:w="0" w:type="dxa"/>
              <w:right w:w="113" w:type="dxa"/>
            </w:tcMar>
            <w:vAlign w:val="center"/>
          </w:tcPr>
          <w:p w14:paraId="17B04DA3">
            <w:pPr>
              <w:keepNext w:val="0"/>
              <w:keepLines w:val="0"/>
              <w:widowControl/>
              <w:suppressLineNumbers w:val="0"/>
              <w:spacing w:line="360" w:lineRule="auto"/>
              <w:jc w:val="both"/>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D</w:t>
            </w:r>
            <w:r>
              <w:rPr>
                <w:rFonts w:ascii="宋体" w:hAnsi="宋体" w:eastAsia="宋体" w:cs="宋体"/>
                <w:sz w:val="24"/>
                <w:szCs w:val="24"/>
              </w:rPr>
              <w:t>isease:Cachexia accompanies a variety of diseases,including cancer and infection,and is characterized by general ill health and malnutrition.disease:Genetic variations in TNF are associated with susceptibility to hepatitis B virus infection(HBV infection) [MIM:610424].Approximately one third of all cases of cirrhosis and half of all cases of hepatocellular carcinoma can be attributed to chronic HBV infection.HBV infection may result in subclinical or asymptomatic infection,acute self-limited hepatitis,or fulminant hepatitis requiring liver transplantation.disease:Genetic variations in TNF are associated with susceptibility to psoriatic arthritis[MIM:607507].Psoriasis is a chronic inflammatory dermatosis that affects approximately 2% of the population.It is characterized by red,scaly skin lesions that are usually found on the scalp,elbows,and knees,and may be associated with severe arthritis.Psoriatic arthritis has been defined as an inflammatory arthritis usually without any rheumatoid factor in serum (seronegative arthritis) associated with psoriasis.function:</w:t>
            </w:r>
            <w:r>
              <w:rPr>
                <w:rFonts w:hint="eastAsia" w:ascii="宋体" w:hAnsi="宋体" w:eastAsia="宋体" w:cs="宋体"/>
                <w:sz w:val="24"/>
                <w:szCs w:val="24"/>
                <w:lang w:val="en-US" w:eastAsia="zh-CN"/>
              </w:rPr>
              <w:t xml:space="preserve"> </w:t>
            </w:r>
            <w:r>
              <w:rPr>
                <w:rFonts w:ascii="宋体" w:hAnsi="宋体" w:eastAsia="宋体" w:cs="宋体"/>
                <w:sz w:val="24"/>
                <w:szCs w:val="24"/>
              </w:rPr>
              <w:t xml:space="preserve">Cytokine that binds to TNFRSF1A/TNFR1 and TNFRSF1B/TNFBR. It is mainly secreted by macrophages and can induce cell death of certain tumor cell lines. It is potent pyrogen causing fever by direct action or by stimulation of interleukin-1 secretion and is implicated in the induction of cachexia,Under certain conditions it can stimulate cell proliferation and induce cell differentiation.online </w:t>
            </w:r>
          </w:p>
        </w:tc>
      </w:tr>
    </w:tbl>
    <w:p w14:paraId="1E92921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3831EC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FD84139">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3FDC853D">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information:The Singapore human mutation and polymorphism database,online information:Tumor necrosis factor alpha entry,</w:t>
            </w:r>
            <w:r>
              <w:rPr>
                <w:rFonts w:hint="eastAsia" w:ascii="宋体" w:hAnsi="宋体" w:eastAsia="宋体" w:cs="宋体"/>
                <w:sz w:val="24"/>
                <w:szCs w:val="24"/>
                <w:lang w:val="en-US" w:eastAsia="zh-CN"/>
              </w:rPr>
              <w:t xml:space="preserve"> </w:t>
            </w:r>
            <w:r>
              <w:rPr>
                <w:rFonts w:ascii="宋体" w:hAnsi="宋体" w:eastAsia="宋体" w:cs="宋体"/>
                <w:sz w:val="24"/>
                <w:szCs w:val="24"/>
              </w:rPr>
              <w:t>PTM:O-glycosylated; glycans contain galactose,N-acetylg</w:t>
            </w:r>
            <w:r>
              <w:rPr>
                <w:rFonts w:hint="eastAsia" w:ascii="宋体" w:hAnsi="宋体" w:eastAsia="宋体" w:cs="宋体"/>
                <w:sz w:val="24"/>
                <w:szCs w:val="24"/>
                <w:lang w:val="en-US" w:eastAsia="zh-CN"/>
              </w:rPr>
              <w:t xml:space="preserve"> </w:t>
            </w:r>
            <w:r>
              <w:rPr>
                <w:rFonts w:ascii="宋体" w:hAnsi="宋体" w:eastAsia="宋体" w:cs="宋体"/>
                <w:sz w:val="24"/>
                <w:szCs w:val="24"/>
              </w:rPr>
              <w:t>alactosamine and N acetylneuraminic acid.PTM:The membrane form,but not the soluble form, is phosphorylated on serine residues. Dephosphorylation of the membrane form occurs by binding to soluble TNFRSF1A/TNFR1.PTM:The soluble form derives from the membrane form by proteolytic processing.similarity:Belongs to the tumor necrosis factor family.subunit:Homotrimer.</w:t>
            </w:r>
          </w:p>
        </w:tc>
      </w:tr>
      <w:tr w14:paraId="6F69F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028323F">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纯化</w:t>
            </w:r>
          </w:p>
        </w:tc>
        <w:tc>
          <w:tcPr>
            <w:tcW w:w="7985" w:type="dxa"/>
            <w:tcMar>
              <w:top w:w="0" w:type="dxa"/>
              <w:left w:w="113" w:type="dxa"/>
              <w:bottom w:w="0" w:type="dxa"/>
              <w:right w:w="113" w:type="dxa"/>
            </w:tcMar>
            <w:vAlign w:val="center"/>
          </w:tcPr>
          <w:p w14:paraId="134ED7BD">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Protein A</w:t>
            </w:r>
          </w:p>
        </w:tc>
      </w:tr>
      <w:tr w14:paraId="46E22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5819728">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Clonality</w:t>
            </w:r>
          </w:p>
        </w:tc>
        <w:tc>
          <w:tcPr>
            <w:tcW w:w="7985" w:type="dxa"/>
            <w:tcMar>
              <w:top w:w="0" w:type="dxa"/>
              <w:left w:w="113" w:type="dxa"/>
              <w:bottom w:w="0" w:type="dxa"/>
              <w:right w:w="113" w:type="dxa"/>
            </w:tcMar>
            <w:vAlign w:val="center"/>
          </w:tcPr>
          <w:p w14:paraId="6B467BAF">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Monoclonal</w:t>
            </w:r>
          </w:p>
        </w:tc>
      </w:tr>
    </w:tbl>
    <w:p w14:paraId="4E3B14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注意事项：</w:t>
      </w:r>
    </w:p>
    <w:p w14:paraId="6DF5F9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1.我司生产的生化试剂如无特殊标注，基本为非无菌包装，若用于细胞实验，请提前做好预处理。需低温保存的产品，一旦配成溶液，请分装保存，避免反复冻融造成的产品失效。</w:t>
      </w:r>
    </w:p>
    <w:p w14:paraId="7B3082F5">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pacing w:val="-1"/>
          <w:sz w:val="24"/>
          <w:szCs w:val="24"/>
          <w:lang w:val="en-US" w:eastAsia="zh-CN"/>
        </w:rPr>
        <w:t>2.</w:t>
      </w:r>
      <w:r>
        <w:rPr>
          <w:rFonts w:hint="eastAsia" w:ascii="宋体" w:hAnsi="宋体" w:eastAsia="宋体" w:cs="宋体"/>
          <w:b w:val="0"/>
          <w:bCs w:val="0"/>
          <w:spacing w:val="-1"/>
          <w:sz w:val="24"/>
          <w:szCs w:val="24"/>
          <w:lang w:eastAsia="zh-CN"/>
        </w:rPr>
        <w:t>本产品仅限于专业人员的科学研究用，不得用于临床诊断或治疗，不得用于食品或药品，不得存放于普通住宅内。</w:t>
      </w:r>
    </w:p>
    <w:p w14:paraId="0F130CD0">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pacing w:val="-2"/>
          <w:sz w:val="24"/>
          <w:szCs w:val="24"/>
          <w:lang w:val="en-US" w:eastAsia="zh-CN"/>
        </w:rPr>
        <w:t>3.</w:t>
      </w:r>
      <w:r>
        <w:rPr>
          <w:rFonts w:hint="eastAsia" w:ascii="宋体" w:hAnsi="宋体" w:eastAsia="宋体" w:cs="宋体"/>
          <w:b w:val="0"/>
          <w:bCs w:val="0"/>
          <w:spacing w:val="-2"/>
          <w:sz w:val="24"/>
          <w:szCs w:val="24"/>
          <w:lang w:eastAsia="zh-CN"/>
        </w:rPr>
        <w:t>为了您的安全和健康，请穿实验服并戴一次性手套操作。</w:t>
      </w:r>
    </w:p>
    <w:p w14:paraId="62FF2FFD">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实验结果受多种因素影响，相关处理仅限于产品本身，不涉及其他赔偿。</w:t>
      </w:r>
    </w:p>
    <w:p w14:paraId="6B7D46DC">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E7959E9">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7F0B15EF">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bCs/>
          <w:color w:val="000000"/>
          <w:kern w:val="0"/>
          <w:sz w:val="24"/>
        </w:rPr>
        <w:drawing>
          <wp:anchor distT="0" distB="0" distL="114300" distR="114300" simplePos="0" relativeHeight="251664384" behindDoc="0" locked="0" layoutInCell="1" allowOverlap="1">
            <wp:simplePos x="0" y="0"/>
            <wp:positionH relativeFrom="column">
              <wp:posOffset>-53340</wp:posOffset>
            </wp:positionH>
            <wp:positionV relativeFrom="paragraph">
              <wp:posOffset>1725295</wp:posOffset>
            </wp:positionV>
            <wp:extent cx="6335395" cy="1526540"/>
            <wp:effectExtent l="0" t="0" r="0" b="17145"/>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7"/>
                    <a:srcRect b="25962"/>
                    <a:stretch>
                      <a:fillRect/>
                    </a:stretch>
                  </pic:blipFill>
                  <pic:spPr>
                    <a:xfrm>
                      <a:off x="0" y="0"/>
                      <a:ext cx="6335395" cy="1526540"/>
                    </a:xfrm>
                    <a:prstGeom prst="rect">
                      <a:avLst/>
                    </a:prstGeom>
                  </pic:spPr>
                </pic:pic>
              </a:graphicData>
            </a:graphic>
          </wp:anchor>
        </w:drawing>
      </w:r>
      <w:r>
        <w:rPr>
          <w:rFonts w:hint="eastAsia" w:ascii="宋体" w:hAnsi="宋体" w:eastAsia="宋体" w:cs="宋体"/>
          <w:sz w:val="24"/>
        </w:rPr>
        <mc:AlternateContent>
          <mc:Choice Requires="wps">
            <w:drawing>
              <wp:anchor distT="0" distB="0" distL="114300" distR="114300" simplePos="0" relativeHeight="251662336" behindDoc="0" locked="0" layoutInCell="1" allowOverlap="1">
                <wp:simplePos x="0" y="0"/>
                <wp:positionH relativeFrom="column">
                  <wp:posOffset>-214630</wp:posOffset>
                </wp:positionH>
                <wp:positionV relativeFrom="paragraph">
                  <wp:posOffset>843280</wp:posOffset>
                </wp:positionV>
                <wp:extent cx="6660515" cy="330200"/>
                <wp:effectExtent l="0" t="0" r="0" b="0"/>
                <wp:wrapSquare wrapText="bothSides"/>
                <wp:docPr id="2" name="文本框 2"/>
                <wp:cNvGraphicFramePr/>
                <a:graphic xmlns:a="http://schemas.openxmlformats.org/drawingml/2006/main">
                  <a:graphicData uri="http://schemas.microsoft.com/office/word/2010/wordprocessingShape">
                    <wps:wsp>
                      <wps:cNvSpPr txBox="1"/>
                      <wps:spPr>
                        <a:xfrm>
                          <a:off x="0" y="0"/>
                          <a:ext cx="6660515"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9pt;margin-top:66.4pt;height:26pt;width:524.45pt;mso-wrap-distance-bottom:0pt;mso-wrap-distance-left:9pt;mso-wrap-distance-right:9pt;mso-wrap-distance-top:0pt;z-index:251662336;mso-width-relative:page;mso-height-relative:page;" filled="f" stroked="f" coordsize="21600,21600" o:gfxdata="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hN9+M9sAAAAMAQAADwAAAAAAAAABACAAAAAiAAAAZHJz&#10;L2Rvd25yZXYueG1sUEsBAhQAFAAAAAgAh07iQKLmvw46AgAAZgQAAA4AAAAAAAAAAQAgAAAAKgEA&#10;AGRycy9lMm9Eb2MueG1sUEsFBgAAAAAGAAYAWQEAANYFAAAAAA==&#10;">
                <v:fill on="f" focussize="0,0"/>
                <v:stroke on="f" weight="0.5pt"/>
                <v:imagedata o:title=""/>
                <o:lock v:ext="edit" aspectratio="f"/>
                <v:textbo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v:textbox>
                <w10:wrap type="square"/>
              </v:shape>
            </w:pict>
          </mc:Fallback>
        </mc:AlternateConten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9F2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9953">
    <w:pPr>
      <w:pStyle w:val="5"/>
      <w:pBdr>
        <w:bottom w:val="triple" w:color="003E8B" w:sz="8" w:space="1"/>
      </w:pBdr>
    </w:pPr>
    <w:r>
      <w:rPr>
        <w:sz w:val="32"/>
      </w:rPr>
      <mc:AlternateContent>
        <mc:Choice Requires="wps">
          <w:drawing>
            <wp:anchor distT="0" distB="0" distL="114300" distR="114300" simplePos="0" relativeHeight="251661312" behindDoc="0" locked="0" layoutInCell="1" allowOverlap="1">
              <wp:simplePos x="0" y="0"/>
              <wp:positionH relativeFrom="column">
                <wp:posOffset>4606290</wp:posOffset>
              </wp:positionH>
              <wp:positionV relativeFrom="paragraph">
                <wp:posOffset>29210</wp:posOffset>
              </wp:positionV>
              <wp:extent cx="1765300" cy="278130"/>
              <wp:effectExtent l="0" t="0" r="0" b="0"/>
              <wp:wrapNone/>
              <wp:docPr id="1" name="文本框 1"/>
              <wp:cNvGraphicFramePr/>
              <a:graphic xmlns:a="http://schemas.openxmlformats.org/drawingml/2006/main">
                <a:graphicData uri="http://schemas.microsoft.com/office/word/2010/wordprocessingShape">
                  <wps:wsp>
                    <wps:cNvSpPr txBox="1"/>
                    <wps:spPr>
                      <a:xfrm>
                        <a:off x="5593715" y="685800"/>
                        <a:ext cx="176530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7pt;margin-top:2.3pt;height:21.9pt;width:139pt;z-index:251661312;mso-width-relative:page;mso-height-relative:page;" filled="f" stroked="f" coordsize="21600,21600" o:gfxdata="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56U36NkAAAAJAQAADwAAAAAAAAABACAA&#10;AAAiAAAAZHJzL2Rvd25yZXYueG1sUEsBAhQAFAAAAAgAh07iQGGOvFVFAgAAcQQAAA4AAAAAAAAA&#10;AQAgAAAAKAEAAGRycy9lMm9Eb2MueG1sUEsFBgAAAAAGAAYAWQEAAN8FAAAAAA==&#10;">
              <v:fill on="f" focussize="0,0"/>
              <v:stroke on="f" weight="0.5pt"/>
              <v:imagedata o:title=""/>
              <o:lock v:ext="edit" aspectratio="f"/>
              <v:textbo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v:textbox>
            </v:shape>
          </w:pict>
        </mc:Fallback>
      </mc:AlternateContent>
    </w:r>
    <w:r>
      <w:rPr>
        <w:sz w:val="32"/>
      </w:rPr>
      <w:drawing>
        <wp:anchor distT="0" distB="0" distL="114300" distR="114300" simplePos="0" relativeHeight="251660288" behindDoc="1" locked="0" layoutInCell="1" allowOverlap="1">
          <wp:simplePos x="0" y="0"/>
          <wp:positionH relativeFrom="column">
            <wp:posOffset>-44450</wp:posOffset>
          </wp:positionH>
          <wp:positionV relativeFrom="paragraph">
            <wp:posOffset>-374015</wp:posOffset>
          </wp:positionV>
          <wp:extent cx="1909445" cy="637540"/>
          <wp:effectExtent l="0" t="0" r="14605" b="10160"/>
          <wp:wrapTight wrapText="bothSides">
            <wp:wrapPolygon>
              <wp:start x="0" y="0"/>
              <wp:lineTo x="0" y="20653"/>
              <wp:lineTo x="21334" y="20653"/>
              <wp:lineTo x="21334" y="0"/>
              <wp:lineTo x="0" y="0"/>
            </wp:wrapPolygon>
          </wp:wrapTight>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1"/>
                  <a:srcRect t="35220" b="44017"/>
                  <a:stretch>
                    <a:fillRect/>
                  </a:stretch>
                </pic:blipFill>
                <pic:spPr>
                  <a:xfrm>
                    <a:off x="0" y="0"/>
                    <a:ext cx="1909445" cy="637540"/>
                  </a:xfrm>
                  <a:prstGeom prst="rect">
                    <a:avLst/>
                  </a:prstGeom>
                </pic:spPr>
              </pic:pic>
            </a:graphicData>
          </a:graphic>
        </wp:anchor>
      </w:drawing>
    </w:r>
  </w:p>
  <w:p w14:paraId="6651D016">
    <w:pPr>
      <w:pStyle w:val="5"/>
      <w:pBdr>
        <w:bottom w:val="triple" w:color="003E8B" w:sz="8"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iMDFlZGQwNmM3NmU0NjljZGI1NzFlZTkyYWY1MWEifQ=="/>
  </w:docVars>
  <w:rsids>
    <w:rsidRoot w:val="0035183A"/>
    <w:rsid w:val="0003485D"/>
    <w:rsid w:val="00176F1B"/>
    <w:rsid w:val="0035183A"/>
    <w:rsid w:val="00536B98"/>
    <w:rsid w:val="00550BCD"/>
    <w:rsid w:val="007E1D7D"/>
    <w:rsid w:val="009E519B"/>
    <w:rsid w:val="00B55938"/>
    <w:rsid w:val="00CF34D4"/>
    <w:rsid w:val="01A21D3D"/>
    <w:rsid w:val="01A35951"/>
    <w:rsid w:val="01AF5509"/>
    <w:rsid w:val="0290580B"/>
    <w:rsid w:val="02B42E54"/>
    <w:rsid w:val="02D636D0"/>
    <w:rsid w:val="02EA66DE"/>
    <w:rsid w:val="030869F3"/>
    <w:rsid w:val="03EB455D"/>
    <w:rsid w:val="03FA4AAA"/>
    <w:rsid w:val="0427636F"/>
    <w:rsid w:val="043D4F04"/>
    <w:rsid w:val="0456002C"/>
    <w:rsid w:val="04A82FDF"/>
    <w:rsid w:val="04C623DD"/>
    <w:rsid w:val="04CB683D"/>
    <w:rsid w:val="04E1218F"/>
    <w:rsid w:val="04FB3667"/>
    <w:rsid w:val="04FB646B"/>
    <w:rsid w:val="050E1A00"/>
    <w:rsid w:val="055A65D5"/>
    <w:rsid w:val="058A7125"/>
    <w:rsid w:val="05BA16ED"/>
    <w:rsid w:val="05C017FD"/>
    <w:rsid w:val="05FC198B"/>
    <w:rsid w:val="061A2BD4"/>
    <w:rsid w:val="06510B3A"/>
    <w:rsid w:val="067223C3"/>
    <w:rsid w:val="06C9422E"/>
    <w:rsid w:val="07396F9E"/>
    <w:rsid w:val="074404E4"/>
    <w:rsid w:val="07485E01"/>
    <w:rsid w:val="074C6AD5"/>
    <w:rsid w:val="077935FE"/>
    <w:rsid w:val="07B47F33"/>
    <w:rsid w:val="08D863D1"/>
    <w:rsid w:val="091118F3"/>
    <w:rsid w:val="09183997"/>
    <w:rsid w:val="09185925"/>
    <w:rsid w:val="09B0719F"/>
    <w:rsid w:val="09C74F1B"/>
    <w:rsid w:val="09D37312"/>
    <w:rsid w:val="09E647D0"/>
    <w:rsid w:val="0AA00DD9"/>
    <w:rsid w:val="0B2178DD"/>
    <w:rsid w:val="0B557BA5"/>
    <w:rsid w:val="0B750ECF"/>
    <w:rsid w:val="0C48085D"/>
    <w:rsid w:val="0C9E1B7D"/>
    <w:rsid w:val="0CA971D2"/>
    <w:rsid w:val="0CAF5529"/>
    <w:rsid w:val="0CC7715B"/>
    <w:rsid w:val="0CF11D2C"/>
    <w:rsid w:val="0CFF59E2"/>
    <w:rsid w:val="0D67410D"/>
    <w:rsid w:val="0E2356A9"/>
    <w:rsid w:val="0E7C503C"/>
    <w:rsid w:val="0E822D14"/>
    <w:rsid w:val="0E871FE6"/>
    <w:rsid w:val="0E8841E4"/>
    <w:rsid w:val="0E8E1971"/>
    <w:rsid w:val="0E99362C"/>
    <w:rsid w:val="0EA63999"/>
    <w:rsid w:val="0EC904D1"/>
    <w:rsid w:val="0F1B0D26"/>
    <w:rsid w:val="0F817C7F"/>
    <w:rsid w:val="106A09CE"/>
    <w:rsid w:val="10A21ECE"/>
    <w:rsid w:val="10D55E78"/>
    <w:rsid w:val="10E71524"/>
    <w:rsid w:val="114747AE"/>
    <w:rsid w:val="11C52438"/>
    <w:rsid w:val="11C75D80"/>
    <w:rsid w:val="11FE45DE"/>
    <w:rsid w:val="122132F7"/>
    <w:rsid w:val="126741BF"/>
    <w:rsid w:val="12C909E1"/>
    <w:rsid w:val="12F84AB4"/>
    <w:rsid w:val="1313338E"/>
    <w:rsid w:val="131E7B40"/>
    <w:rsid w:val="13456D24"/>
    <w:rsid w:val="13ED5C8D"/>
    <w:rsid w:val="13F4443E"/>
    <w:rsid w:val="140F6D84"/>
    <w:rsid w:val="142F5D29"/>
    <w:rsid w:val="144D54F4"/>
    <w:rsid w:val="14D26837"/>
    <w:rsid w:val="14F55AF2"/>
    <w:rsid w:val="151C4E66"/>
    <w:rsid w:val="152754B3"/>
    <w:rsid w:val="156F4137"/>
    <w:rsid w:val="15AE1709"/>
    <w:rsid w:val="15E056F0"/>
    <w:rsid w:val="16001153"/>
    <w:rsid w:val="162A486A"/>
    <w:rsid w:val="164107F7"/>
    <w:rsid w:val="16905666"/>
    <w:rsid w:val="16A135AF"/>
    <w:rsid w:val="16D27BE2"/>
    <w:rsid w:val="17064446"/>
    <w:rsid w:val="172E0C15"/>
    <w:rsid w:val="175A762B"/>
    <w:rsid w:val="17681CF4"/>
    <w:rsid w:val="17B26323"/>
    <w:rsid w:val="17D22922"/>
    <w:rsid w:val="18676043"/>
    <w:rsid w:val="18CE2115"/>
    <w:rsid w:val="18D05D24"/>
    <w:rsid w:val="19106403"/>
    <w:rsid w:val="19224548"/>
    <w:rsid w:val="19366C6C"/>
    <w:rsid w:val="198B64F6"/>
    <w:rsid w:val="19AA6DAB"/>
    <w:rsid w:val="19AF7FBA"/>
    <w:rsid w:val="1A150F6C"/>
    <w:rsid w:val="1A651128"/>
    <w:rsid w:val="1AD33783"/>
    <w:rsid w:val="1BEB27DD"/>
    <w:rsid w:val="1C44345E"/>
    <w:rsid w:val="1C585945"/>
    <w:rsid w:val="1CA92351"/>
    <w:rsid w:val="1D342E85"/>
    <w:rsid w:val="1D3E3F1F"/>
    <w:rsid w:val="1D8D1F09"/>
    <w:rsid w:val="1DA76D00"/>
    <w:rsid w:val="1DB34347"/>
    <w:rsid w:val="1DE91AC0"/>
    <w:rsid w:val="1E0F5A13"/>
    <w:rsid w:val="1E61514A"/>
    <w:rsid w:val="1EE302BC"/>
    <w:rsid w:val="1EEB5B4B"/>
    <w:rsid w:val="1F096D88"/>
    <w:rsid w:val="1F87086A"/>
    <w:rsid w:val="201A6269"/>
    <w:rsid w:val="206800B8"/>
    <w:rsid w:val="208158C6"/>
    <w:rsid w:val="20F13933"/>
    <w:rsid w:val="21577664"/>
    <w:rsid w:val="21A32975"/>
    <w:rsid w:val="21B34857"/>
    <w:rsid w:val="21F323C4"/>
    <w:rsid w:val="225E5072"/>
    <w:rsid w:val="22733774"/>
    <w:rsid w:val="231E5021"/>
    <w:rsid w:val="238F4C63"/>
    <w:rsid w:val="23AF388C"/>
    <w:rsid w:val="23C92041"/>
    <w:rsid w:val="246745B0"/>
    <w:rsid w:val="24932711"/>
    <w:rsid w:val="24A75B2E"/>
    <w:rsid w:val="24AA6AB3"/>
    <w:rsid w:val="24EE1B26"/>
    <w:rsid w:val="24F84634"/>
    <w:rsid w:val="24F85191"/>
    <w:rsid w:val="24FC4AFB"/>
    <w:rsid w:val="24FD0F0B"/>
    <w:rsid w:val="2539478B"/>
    <w:rsid w:val="253A0920"/>
    <w:rsid w:val="253A1F73"/>
    <w:rsid w:val="256F3379"/>
    <w:rsid w:val="25B240A2"/>
    <w:rsid w:val="25CF29F0"/>
    <w:rsid w:val="25E63EC6"/>
    <w:rsid w:val="26B6341C"/>
    <w:rsid w:val="26D00946"/>
    <w:rsid w:val="26E13751"/>
    <w:rsid w:val="26EC32D6"/>
    <w:rsid w:val="27263B64"/>
    <w:rsid w:val="27312FD9"/>
    <w:rsid w:val="279C532A"/>
    <w:rsid w:val="279D2125"/>
    <w:rsid w:val="27E47575"/>
    <w:rsid w:val="27E8394B"/>
    <w:rsid w:val="27F26105"/>
    <w:rsid w:val="28967984"/>
    <w:rsid w:val="28BB4829"/>
    <w:rsid w:val="2973448D"/>
    <w:rsid w:val="2980047C"/>
    <w:rsid w:val="29BD2425"/>
    <w:rsid w:val="29C37F84"/>
    <w:rsid w:val="2A343AAB"/>
    <w:rsid w:val="2A385754"/>
    <w:rsid w:val="2A890571"/>
    <w:rsid w:val="2A930168"/>
    <w:rsid w:val="2AFA03B3"/>
    <w:rsid w:val="2B0A3913"/>
    <w:rsid w:val="2B3B1EEA"/>
    <w:rsid w:val="2BC0099B"/>
    <w:rsid w:val="2BD25DB0"/>
    <w:rsid w:val="2BD7361B"/>
    <w:rsid w:val="2C2026D3"/>
    <w:rsid w:val="2C6319AB"/>
    <w:rsid w:val="2C7B2207"/>
    <w:rsid w:val="2C8F6305"/>
    <w:rsid w:val="2CDF2535"/>
    <w:rsid w:val="2CF76DD3"/>
    <w:rsid w:val="2CFF1A94"/>
    <w:rsid w:val="2D1D6B98"/>
    <w:rsid w:val="2D4A15DA"/>
    <w:rsid w:val="2D8C5507"/>
    <w:rsid w:val="2DA42F6E"/>
    <w:rsid w:val="2DAD2D26"/>
    <w:rsid w:val="2E2A593D"/>
    <w:rsid w:val="2E750D92"/>
    <w:rsid w:val="2EB73FD3"/>
    <w:rsid w:val="2F0A41BA"/>
    <w:rsid w:val="2F0B703D"/>
    <w:rsid w:val="2F2F5242"/>
    <w:rsid w:val="2F6B19BE"/>
    <w:rsid w:val="2F757B98"/>
    <w:rsid w:val="2FDD6D10"/>
    <w:rsid w:val="303957E2"/>
    <w:rsid w:val="304A1F48"/>
    <w:rsid w:val="305A5381"/>
    <w:rsid w:val="30704386"/>
    <w:rsid w:val="308D3CB6"/>
    <w:rsid w:val="312E5A3D"/>
    <w:rsid w:val="318254C8"/>
    <w:rsid w:val="31D53C4D"/>
    <w:rsid w:val="3200615C"/>
    <w:rsid w:val="322C20DD"/>
    <w:rsid w:val="32304F3B"/>
    <w:rsid w:val="32656891"/>
    <w:rsid w:val="32755D55"/>
    <w:rsid w:val="32803246"/>
    <w:rsid w:val="33124D10"/>
    <w:rsid w:val="331369C4"/>
    <w:rsid w:val="33337A61"/>
    <w:rsid w:val="33512240"/>
    <w:rsid w:val="33785CD4"/>
    <w:rsid w:val="338D30F2"/>
    <w:rsid w:val="33DE7FB6"/>
    <w:rsid w:val="34373437"/>
    <w:rsid w:val="34712317"/>
    <w:rsid w:val="34A42ADE"/>
    <w:rsid w:val="34F2723B"/>
    <w:rsid w:val="35122777"/>
    <w:rsid w:val="35635123"/>
    <w:rsid w:val="35637488"/>
    <w:rsid w:val="357E70FE"/>
    <w:rsid w:val="35E478EA"/>
    <w:rsid w:val="35FE2DA3"/>
    <w:rsid w:val="360601AF"/>
    <w:rsid w:val="363C1CC9"/>
    <w:rsid w:val="3648104A"/>
    <w:rsid w:val="368A58F2"/>
    <w:rsid w:val="370D2F60"/>
    <w:rsid w:val="373A520C"/>
    <w:rsid w:val="375774C7"/>
    <w:rsid w:val="37677135"/>
    <w:rsid w:val="38866F49"/>
    <w:rsid w:val="38954773"/>
    <w:rsid w:val="38C8700E"/>
    <w:rsid w:val="394A04DB"/>
    <w:rsid w:val="395231E3"/>
    <w:rsid w:val="39903C9D"/>
    <w:rsid w:val="39CE2D14"/>
    <w:rsid w:val="3A0D7368"/>
    <w:rsid w:val="3A1316E7"/>
    <w:rsid w:val="3ABC5A81"/>
    <w:rsid w:val="3AC11A5B"/>
    <w:rsid w:val="3AC5428F"/>
    <w:rsid w:val="3AE86372"/>
    <w:rsid w:val="3B0D4306"/>
    <w:rsid w:val="3B213CCB"/>
    <w:rsid w:val="3B4648CF"/>
    <w:rsid w:val="3B8E0546"/>
    <w:rsid w:val="3BAD3A17"/>
    <w:rsid w:val="3BBE1EC5"/>
    <w:rsid w:val="3BCE7032"/>
    <w:rsid w:val="3C0D0E14"/>
    <w:rsid w:val="3C22392D"/>
    <w:rsid w:val="3C300415"/>
    <w:rsid w:val="3C320FDE"/>
    <w:rsid w:val="3C964676"/>
    <w:rsid w:val="3CC06644"/>
    <w:rsid w:val="3CC350C0"/>
    <w:rsid w:val="3CCA6C49"/>
    <w:rsid w:val="3CE95B10"/>
    <w:rsid w:val="3D56682D"/>
    <w:rsid w:val="3E941738"/>
    <w:rsid w:val="3F5D7999"/>
    <w:rsid w:val="3F6420B9"/>
    <w:rsid w:val="3F903F59"/>
    <w:rsid w:val="3FBD5D22"/>
    <w:rsid w:val="40111F29"/>
    <w:rsid w:val="402121C3"/>
    <w:rsid w:val="404E06BB"/>
    <w:rsid w:val="40652770"/>
    <w:rsid w:val="40D40882"/>
    <w:rsid w:val="417B4D1B"/>
    <w:rsid w:val="41F97A45"/>
    <w:rsid w:val="425A43EC"/>
    <w:rsid w:val="43037617"/>
    <w:rsid w:val="432C2568"/>
    <w:rsid w:val="43C413C1"/>
    <w:rsid w:val="44297ADF"/>
    <w:rsid w:val="446E2265"/>
    <w:rsid w:val="44FF5E25"/>
    <w:rsid w:val="450056F2"/>
    <w:rsid w:val="460E6F41"/>
    <w:rsid w:val="46816D3A"/>
    <w:rsid w:val="46D43F69"/>
    <w:rsid w:val="46EA3DBD"/>
    <w:rsid w:val="471D7638"/>
    <w:rsid w:val="473E4B6F"/>
    <w:rsid w:val="47524251"/>
    <w:rsid w:val="47AC0A26"/>
    <w:rsid w:val="47B944B8"/>
    <w:rsid w:val="47BF10AC"/>
    <w:rsid w:val="48023292"/>
    <w:rsid w:val="48A500FE"/>
    <w:rsid w:val="48AE09FE"/>
    <w:rsid w:val="491102ED"/>
    <w:rsid w:val="4AC53A79"/>
    <w:rsid w:val="4B1906C2"/>
    <w:rsid w:val="4B36638E"/>
    <w:rsid w:val="4B6D0F55"/>
    <w:rsid w:val="4B7625DA"/>
    <w:rsid w:val="4B9E34FB"/>
    <w:rsid w:val="4BAD788C"/>
    <w:rsid w:val="4C026C1B"/>
    <w:rsid w:val="4C734401"/>
    <w:rsid w:val="4CA07244"/>
    <w:rsid w:val="4CAC0AD9"/>
    <w:rsid w:val="4CC61202"/>
    <w:rsid w:val="4CD25495"/>
    <w:rsid w:val="4CE121B6"/>
    <w:rsid w:val="4CE7420C"/>
    <w:rsid w:val="4D027309"/>
    <w:rsid w:val="4D7550D6"/>
    <w:rsid w:val="4D883D5B"/>
    <w:rsid w:val="4E086014"/>
    <w:rsid w:val="4E21535E"/>
    <w:rsid w:val="4ECD1797"/>
    <w:rsid w:val="4EE30774"/>
    <w:rsid w:val="4EF84E1A"/>
    <w:rsid w:val="4F250268"/>
    <w:rsid w:val="4F737FE7"/>
    <w:rsid w:val="4F7B121C"/>
    <w:rsid w:val="4F9672A2"/>
    <w:rsid w:val="4FB2334F"/>
    <w:rsid w:val="4FF06B27"/>
    <w:rsid w:val="50120BE2"/>
    <w:rsid w:val="50347DB4"/>
    <w:rsid w:val="50AA641F"/>
    <w:rsid w:val="50B45146"/>
    <w:rsid w:val="51134C3F"/>
    <w:rsid w:val="511D63FF"/>
    <w:rsid w:val="512E60BF"/>
    <w:rsid w:val="51A95BF6"/>
    <w:rsid w:val="51B0659F"/>
    <w:rsid w:val="51B22A95"/>
    <w:rsid w:val="5209668D"/>
    <w:rsid w:val="520A0F25"/>
    <w:rsid w:val="525C3A3C"/>
    <w:rsid w:val="52765914"/>
    <w:rsid w:val="52825D84"/>
    <w:rsid w:val="52B177D5"/>
    <w:rsid w:val="52C00468"/>
    <w:rsid w:val="532967CF"/>
    <w:rsid w:val="53785E53"/>
    <w:rsid w:val="53932FAA"/>
    <w:rsid w:val="539D4A4F"/>
    <w:rsid w:val="53B001FF"/>
    <w:rsid w:val="53E92D37"/>
    <w:rsid w:val="541E5F16"/>
    <w:rsid w:val="54323AA5"/>
    <w:rsid w:val="54A51507"/>
    <w:rsid w:val="54B14700"/>
    <w:rsid w:val="54C41083"/>
    <w:rsid w:val="553426D6"/>
    <w:rsid w:val="55824075"/>
    <w:rsid w:val="558527A8"/>
    <w:rsid w:val="560F0C8F"/>
    <w:rsid w:val="5617026F"/>
    <w:rsid w:val="565C2AE2"/>
    <w:rsid w:val="56611E44"/>
    <w:rsid w:val="56855713"/>
    <w:rsid w:val="56B345FC"/>
    <w:rsid w:val="57400A23"/>
    <w:rsid w:val="57475263"/>
    <w:rsid w:val="57D60ECC"/>
    <w:rsid w:val="57E013BB"/>
    <w:rsid w:val="583F13D4"/>
    <w:rsid w:val="585C6786"/>
    <w:rsid w:val="58B076F4"/>
    <w:rsid w:val="59185571"/>
    <w:rsid w:val="591B4F3B"/>
    <w:rsid w:val="598A5B73"/>
    <w:rsid w:val="59EC2E62"/>
    <w:rsid w:val="5A6C3F68"/>
    <w:rsid w:val="5AF922F3"/>
    <w:rsid w:val="5AFF0F58"/>
    <w:rsid w:val="5B5154DF"/>
    <w:rsid w:val="5B5C1B86"/>
    <w:rsid w:val="5BA844A1"/>
    <w:rsid w:val="5C2F4090"/>
    <w:rsid w:val="5C5B3413"/>
    <w:rsid w:val="5C990CF9"/>
    <w:rsid w:val="5CDB64B9"/>
    <w:rsid w:val="5CF01708"/>
    <w:rsid w:val="5D4123D7"/>
    <w:rsid w:val="5D597EB6"/>
    <w:rsid w:val="5D672422"/>
    <w:rsid w:val="5D7B548F"/>
    <w:rsid w:val="5DAE4FBE"/>
    <w:rsid w:val="5E1D4DBE"/>
    <w:rsid w:val="5E4E5970"/>
    <w:rsid w:val="5EB05E27"/>
    <w:rsid w:val="5F6642FA"/>
    <w:rsid w:val="5F6A4287"/>
    <w:rsid w:val="5FBF617C"/>
    <w:rsid w:val="609A74D9"/>
    <w:rsid w:val="614D672E"/>
    <w:rsid w:val="61547844"/>
    <w:rsid w:val="619C67A3"/>
    <w:rsid w:val="61AD0F24"/>
    <w:rsid w:val="61FD7F78"/>
    <w:rsid w:val="621341DF"/>
    <w:rsid w:val="62254213"/>
    <w:rsid w:val="6232562F"/>
    <w:rsid w:val="624F75D6"/>
    <w:rsid w:val="62556F61"/>
    <w:rsid w:val="62592AC8"/>
    <w:rsid w:val="626165F7"/>
    <w:rsid w:val="62975CA9"/>
    <w:rsid w:val="62B77DD9"/>
    <w:rsid w:val="62BC7C0A"/>
    <w:rsid w:val="62BF467C"/>
    <w:rsid w:val="635D7616"/>
    <w:rsid w:val="63F70E13"/>
    <w:rsid w:val="643C4635"/>
    <w:rsid w:val="64656DDA"/>
    <w:rsid w:val="64680641"/>
    <w:rsid w:val="64770B68"/>
    <w:rsid w:val="64B23ADF"/>
    <w:rsid w:val="64E00258"/>
    <w:rsid w:val="64EC121F"/>
    <w:rsid w:val="64EC56DE"/>
    <w:rsid w:val="64FB2961"/>
    <w:rsid w:val="65921D24"/>
    <w:rsid w:val="65A77796"/>
    <w:rsid w:val="65B740EF"/>
    <w:rsid w:val="65D07218"/>
    <w:rsid w:val="66053E13"/>
    <w:rsid w:val="6629681B"/>
    <w:rsid w:val="662E380F"/>
    <w:rsid w:val="666202C9"/>
    <w:rsid w:val="66825B6B"/>
    <w:rsid w:val="6728510A"/>
    <w:rsid w:val="672B7977"/>
    <w:rsid w:val="673C1CED"/>
    <w:rsid w:val="6758751F"/>
    <w:rsid w:val="682B106B"/>
    <w:rsid w:val="683B3E0E"/>
    <w:rsid w:val="68573A55"/>
    <w:rsid w:val="68D63E24"/>
    <w:rsid w:val="68DD2009"/>
    <w:rsid w:val="691C697F"/>
    <w:rsid w:val="69423218"/>
    <w:rsid w:val="694542C0"/>
    <w:rsid w:val="699F1009"/>
    <w:rsid w:val="69D63949"/>
    <w:rsid w:val="6A66623D"/>
    <w:rsid w:val="6A9926E5"/>
    <w:rsid w:val="6ABF0EDD"/>
    <w:rsid w:val="6B0C16AE"/>
    <w:rsid w:val="6B221653"/>
    <w:rsid w:val="6B266D59"/>
    <w:rsid w:val="6B29793D"/>
    <w:rsid w:val="6B7150EA"/>
    <w:rsid w:val="6B927388"/>
    <w:rsid w:val="6BBC512F"/>
    <w:rsid w:val="6C3C0985"/>
    <w:rsid w:val="6C5245F2"/>
    <w:rsid w:val="6C573929"/>
    <w:rsid w:val="6CAA23D4"/>
    <w:rsid w:val="6D0D1994"/>
    <w:rsid w:val="6D534D30"/>
    <w:rsid w:val="6D640F1E"/>
    <w:rsid w:val="6D68150D"/>
    <w:rsid w:val="6D9A555F"/>
    <w:rsid w:val="6DAA6C99"/>
    <w:rsid w:val="6DEC3D19"/>
    <w:rsid w:val="6E2D0A58"/>
    <w:rsid w:val="6E3B1685"/>
    <w:rsid w:val="6E5411B6"/>
    <w:rsid w:val="6ED1189B"/>
    <w:rsid w:val="6ED326BA"/>
    <w:rsid w:val="6F287D25"/>
    <w:rsid w:val="6F346BAB"/>
    <w:rsid w:val="6F5526E8"/>
    <w:rsid w:val="6F8D320C"/>
    <w:rsid w:val="705431DA"/>
    <w:rsid w:val="70620583"/>
    <w:rsid w:val="70A32F59"/>
    <w:rsid w:val="70B05257"/>
    <w:rsid w:val="70CA6F8F"/>
    <w:rsid w:val="70CD5B01"/>
    <w:rsid w:val="71BF1D25"/>
    <w:rsid w:val="71D67E3E"/>
    <w:rsid w:val="729566E4"/>
    <w:rsid w:val="72C96D2F"/>
    <w:rsid w:val="72E122C6"/>
    <w:rsid w:val="72F41A37"/>
    <w:rsid w:val="732F3C62"/>
    <w:rsid w:val="73593E1A"/>
    <w:rsid w:val="73870D9C"/>
    <w:rsid w:val="73CD02AE"/>
    <w:rsid w:val="73F7554E"/>
    <w:rsid w:val="74056518"/>
    <w:rsid w:val="74214EE2"/>
    <w:rsid w:val="74396708"/>
    <w:rsid w:val="74EA63F1"/>
    <w:rsid w:val="75411B00"/>
    <w:rsid w:val="758B050D"/>
    <w:rsid w:val="75C65B4A"/>
    <w:rsid w:val="76CD7B40"/>
    <w:rsid w:val="76CE572E"/>
    <w:rsid w:val="76D96ADA"/>
    <w:rsid w:val="76EC369B"/>
    <w:rsid w:val="7701609E"/>
    <w:rsid w:val="77680095"/>
    <w:rsid w:val="778F7D08"/>
    <w:rsid w:val="77DA3130"/>
    <w:rsid w:val="78104D48"/>
    <w:rsid w:val="78121E8B"/>
    <w:rsid w:val="782E17BB"/>
    <w:rsid w:val="78485127"/>
    <w:rsid w:val="785678B3"/>
    <w:rsid w:val="7864155B"/>
    <w:rsid w:val="789C74A8"/>
    <w:rsid w:val="78B90220"/>
    <w:rsid w:val="78D20C44"/>
    <w:rsid w:val="79005552"/>
    <w:rsid w:val="7975186D"/>
    <w:rsid w:val="79A16AF1"/>
    <w:rsid w:val="79D4566A"/>
    <w:rsid w:val="79F75D05"/>
    <w:rsid w:val="7A684B2A"/>
    <w:rsid w:val="7A884CAB"/>
    <w:rsid w:val="7A9C401C"/>
    <w:rsid w:val="7AB21380"/>
    <w:rsid w:val="7AC95598"/>
    <w:rsid w:val="7AE812E5"/>
    <w:rsid w:val="7AED199D"/>
    <w:rsid w:val="7B016CDB"/>
    <w:rsid w:val="7B0D1A60"/>
    <w:rsid w:val="7B315EF7"/>
    <w:rsid w:val="7B5641E6"/>
    <w:rsid w:val="7BC565E6"/>
    <w:rsid w:val="7C312449"/>
    <w:rsid w:val="7C345DD3"/>
    <w:rsid w:val="7C95491D"/>
    <w:rsid w:val="7C9A0FEA"/>
    <w:rsid w:val="7CAD3FB2"/>
    <w:rsid w:val="7CAF571D"/>
    <w:rsid w:val="7DD259B9"/>
    <w:rsid w:val="7DDA520A"/>
    <w:rsid w:val="7DDB7408"/>
    <w:rsid w:val="7E0624A3"/>
    <w:rsid w:val="7E3E2C83"/>
    <w:rsid w:val="7E9114B5"/>
    <w:rsid w:val="7EF420BE"/>
    <w:rsid w:val="7F0F7636"/>
    <w:rsid w:val="7F780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Cs w:val="21"/>
      <w:lang w:eastAsia="en-US"/>
    </w:r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000000"/>
      <w:sz w:val="26"/>
      <w:szCs w:val="26"/>
      <w:u w:val="none"/>
    </w:rPr>
  </w:style>
  <w:style w:type="paragraph" w:customStyle="1" w:styleId="10">
    <w:name w:val="Table Text"/>
    <w:basedOn w:val="1"/>
    <w:semiHidden/>
    <w:qFormat/>
    <w:uiPriority w:val="0"/>
    <w:rPr>
      <w:rFonts w:ascii="Times New Roman" w:hAnsi="Times New Roman" w:eastAsia="Times New Roman" w:cs="Times New Roman"/>
      <w:sz w:val="19"/>
      <w:szCs w:val="19"/>
      <w:lang w:eastAsia="en-U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445</Words>
  <Characters>1482</Characters>
  <Lines>1</Lines>
  <Paragraphs>1</Paragraphs>
  <TotalTime>8</TotalTime>
  <ScaleCrop>false</ScaleCrop>
  <LinksUpToDate>false</LinksUpToDate>
  <CharactersWithSpaces>1609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2025-02-19T04:59:00Z</dcterms:created>
  <dc:creator>Administrator</dc:creator>
  <cp:lastModifiedBy>EVEN.</cp:lastModifiedBy>
  <dcterms:modified xsi:type="dcterms:W3CDTF">2025-11-14T08:02:57Z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C80255BBC18B4D13840C94A5D20171D7_13</vt:lpwstr>
  </property>
  <property fmtid="{D5CDD505-2E9C-101B-9397-08002B2CF9AE}" pid="4" name="KSOTemplateDocerSaveRecord">
    <vt:lpwstr>eyJoZGlkIjoiOGVmMWQyNjRmNDQ0M2ExYzU1Y2IyZGUwZGQ2ZmJkZmIiLCJ1c2VySWQiOiI0NTA4MTE1OTEifQ==</vt:lpwstr>
  </property>
</Properties>
</file>